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rsidTr="00CA126F">
        <w:tc>
          <w:tcPr>
            <w:tcW w:w="6449" w:type="dxa"/>
          </w:tcPr>
          <w:p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rsidR="00CE420F" w:rsidRDefault="00CE420F" w:rsidP="00CA126F"/>
        </w:tc>
        <w:tc>
          <w:tcPr>
            <w:tcW w:w="2981" w:type="dxa"/>
          </w:tcPr>
          <w:p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8519E" w:rsidRDefault="00C8519E" w:rsidP="00D24C50">
      <w:pPr>
        <w:rPr>
          <w:rFonts w:cstheme="minorHAnsi"/>
          <w:color w:val="14171A"/>
          <w:sz w:val="24"/>
          <w:szCs w:val="24"/>
          <w:shd w:val="clear" w:color="auto" w:fill="FFFFFF"/>
        </w:rPr>
      </w:pPr>
    </w:p>
    <w:p w:rsidR="00C7411B" w:rsidRDefault="00C7411B" w:rsidP="00C7411B">
      <w:r>
        <w:t xml:space="preserve">Ob für den Weg zur Schule, Uni oder Arbeit, zum Einkaufen oder ins Freibad, viele Menschen nutzen gerne das Fahrrad. Doch die Freude ist schnell vorbei, wenn das Fahrrad nicht mehr dort steht, wo es abgestellt wurde – Fahrräder werden auch 2020 immer noch zu oft geklaut. Unsere Tipps zum Schutz vor Fahrraddiebstahl: </w:t>
      </w:r>
      <w:r>
        <w:br/>
      </w:r>
      <w:r>
        <w:br/>
        <w:t>LINK</w:t>
      </w:r>
      <w:r w:rsidR="00FE51B9">
        <w:t xml:space="preserve">: </w:t>
      </w:r>
      <w:hyperlink r:id="rId5" w:history="1">
        <w:r w:rsidR="00FE51B9" w:rsidRPr="004C3A94">
          <w:rPr>
            <w:rStyle w:val="Hyperlink"/>
          </w:rPr>
          <w:t>https://polizei-beratung.de/startseite-und-aktionen/aktuelles/detailansicht/keine-chance-fuer-fahrrad-diebe/</w:t>
        </w:r>
      </w:hyperlink>
      <w:r w:rsidR="00FE51B9">
        <w:t xml:space="preserve"> (Veröffentlichung am 31.07.2020)</w:t>
      </w:r>
    </w:p>
    <w:p w:rsidR="005C2369" w:rsidRDefault="005C2369" w:rsidP="00D24C50"/>
    <w:p w:rsidR="001159DE" w:rsidRPr="00C8519E" w:rsidRDefault="001159DE" w:rsidP="00D24C50">
      <w:pPr>
        <w:rPr>
          <w:rFonts w:cstheme="minorHAnsi"/>
          <w:sz w:val="24"/>
          <w:szCs w:val="24"/>
        </w:rPr>
      </w:pPr>
      <w:r>
        <w:br/>
      </w:r>
    </w:p>
    <w:p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w:t>
      </w:r>
      <w:r w:rsidR="00C7411B">
        <w:rPr>
          <w:rFonts w:cstheme="minorHAnsi"/>
        </w:rPr>
        <w:t xml:space="preserve">Fahrrad #Fahrraddiebstahl #fahrradschloss #ebike #diebstahl </w:t>
      </w:r>
    </w:p>
    <w:p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3C439A"/>
    <w:rsid w:val="003D3092"/>
    <w:rsid w:val="004537E3"/>
    <w:rsid w:val="00496E0A"/>
    <w:rsid w:val="005C2369"/>
    <w:rsid w:val="006B22EC"/>
    <w:rsid w:val="0082657B"/>
    <w:rsid w:val="00A54F22"/>
    <w:rsid w:val="00A715E2"/>
    <w:rsid w:val="00C7411B"/>
    <w:rsid w:val="00C8519E"/>
    <w:rsid w:val="00CE420F"/>
    <w:rsid w:val="00D24C50"/>
    <w:rsid w:val="00D86A05"/>
    <w:rsid w:val="00F301FC"/>
    <w:rsid w:val="00F65748"/>
    <w:rsid w:val="00FE5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542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FE5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zei-beratung.de/startseite-und-aktionen/aktuelles/detailansicht/keine-chance-fuer-fahrrad-diebe/"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3</cp:revision>
  <dcterms:created xsi:type="dcterms:W3CDTF">2020-07-23T15:32:00Z</dcterms:created>
  <dcterms:modified xsi:type="dcterms:W3CDTF">2020-07-24T10:28:00Z</dcterms:modified>
</cp:coreProperties>
</file>